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33" w:rsidRDefault="0092744A" w:rsidP="002D0F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8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80000"/>
          <w:sz w:val="27"/>
          <w:szCs w:val="27"/>
          <w:shd w:val="clear" w:color="auto" w:fill="FFFFFF"/>
          <w:lang w:eastAsia="ru-RU"/>
        </w:rPr>
        <w:t>Средства обучения и воспитания центра «Точка роста»</w:t>
      </w:r>
    </w:p>
    <w:p w:rsidR="0092744A" w:rsidRDefault="0092744A" w:rsidP="002D0F3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880000"/>
          <w:sz w:val="27"/>
          <w:szCs w:val="27"/>
          <w:shd w:val="clear" w:color="auto" w:fill="FFFFFF"/>
          <w:lang w:eastAsia="ru-RU"/>
        </w:rPr>
      </w:pPr>
    </w:p>
    <w:p w:rsidR="0092744A" w:rsidRPr="002D0F33" w:rsidRDefault="0092744A" w:rsidP="002D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F33">
        <w:rPr>
          <w:rFonts w:ascii="Times New Roman" w:eastAsia="Times New Roman" w:hAnsi="Times New Roman" w:cs="Times New Roman"/>
          <w:b/>
          <w:bCs/>
          <w:color w:val="880000"/>
          <w:sz w:val="27"/>
          <w:szCs w:val="27"/>
          <w:shd w:val="clear" w:color="auto" w:fill="FFFFFF"/>
          <w:lang w:eastAsia="ru-RU"/>
        </w:rPr>
        <w:t>Естественнонаучная направленность</w:t>
      </w:r>
      <w:bookmarkStart w:id="0" w:name="_GoBack"/>
      <w:bookmarkEnd w:id="0"/>
    </w:p>
    <w:p w:rsidR="002D0F33" w:rsidRPr="002D0F33" w:rsidRDefault="002D0F33" w:rsidP="002D0F33">
      <w:pPr>
        <w:numPr>
          <w:ilvl w:val="0"/>
          <w:numId w:val="1"/>
        </w:numPr>
        <w:spacing w:before="100" w:beforeAutospacing="1" w:after="195" w:line="240" w:lineRule="auto"/>
        <w:ind w:right="525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Общее оборудование (физика, химия, биология):</w:t>
      </w:r>
    </w:p>
    <w:p w:rsidR="002D0F33" w:rsidRPr="002D0F33" w:rsidRDefault="002D0F33" w:rsidP="002D0F33">
      <w:pPr>
        <w:numPr>
          <w:ilvl w:val="1"/>
          <w:numId w:val="1"/>
        </w:numPr>
        <w:spacing w:before="100" w:beforeAutospacing="1" w:after="195" w:line="240" w:lineRule="auto"/>
        <w:ind w:right="1575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Цифровая лаборатория ученическая (физика, химия, биология).</w:t>
      </w:r>
    </w:p>
    <w:p w:rsidR="002D0F33" w:rsidRPr="002D0F33" w:rsidRDefault="002D0F33" w:rsidP="002D0F33">
      <w:pPr>
        <w:numPr>
          <w:ilvl w:val="1"/>
          <w:numId w:val="1"/>
        </w:numPr>
        <w:spacing w:before="100" w:beforeAutospacing="1" w:after="195" w:line="240" w:lineRule="auto"/>
        <w:ind w:right="1575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Комплект посуды и оборудования для ученических опытов (физика, химия, биология).</w:t>
      </w:r>
    </w:p>
    <w:p w:rsidR="002D0F33" w:rsidRPr="002D0F33" w:rsidRDefault="002D0F33" w:rsidP="002D0F33">
      <w:pPr>
        <w:numPr>
          <w:ilvl w:val="0"/>
          <w:numId w:val="1"/>
        </w:numPr>
        <w:spacing w:before="100" w:beforeAutospacing="1" w:after="195" w:line="240" w:lineRule="auto"/>
        <w:ind w:right="525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Биология:</w:t>
      </w:r>
    </w:p>
    <w:p w:rsidR="002D0F33" w:rsidRPr="002D0F33" w:rsidRDefault="002D0F33" w:rsidP="002D0F33">
      <w:pPr>
        <w:numPr>
          <w:ilvl w:val="1"/>
          <w:numId w:val="1"/>
        </w:numPr>
        <w:spacing w:before="100" w:beforeAutospacing="1" w:after="195" w:line="240" w:lineRule="auto"/>
        <w:ind w:right="1575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Комплект влажных препаратов демонстрационный.</w:t>
      </w:r>
    </w:p>
    <w:p w:rsidR="002D0F33" w:rsidRPr="002D0F33" w:rsidRDefault="002D0F33" w:rsidP="002D0F33">
      <w:pPr>
        <w:numPr>
          <w:ilvl w:val="1"/>
          <w:numId w:val="1"/>
        </w:numPr>
        <w:spacing w:before="100" w:beforeAutospacing="1" w:after="195" w:line="240" w:lineRule="auto"/>
        <w:ind w:right="1575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Комплект гербариев демонстрационный.</w:t>
      </w:r>
    </w:p>
    <w:p w:rsidR="002D0F33" w:rsidRPr="0092744A" w:rsidRDefault="002D0F33" w:rsidP="002D0F33">
      <w:pPr>
        <w:numPr>
          <w:ilvl w:val="1"/>
          <w:numId w:val="1"/>
        </w:numPr>
        <w:spacing w:before="100" w:beforeAutospacing="1" w:after="195" w:line="240" w:lineRule="auto"/>
        <w:ind w:right="1575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Комплект коллекций демонстрационный (по разным темам курса биологии).</w:t>
      </w:r>
    </w:p>
    <w:p w:rsidR="0092744A" w:rsidRPr="002D0F33" w:rsidRDefault="0092744A" w:rsidP="002D0F33">
      <w:pPr>
        <w:numPr>
          <w:ilvl w:val="1"/>
          <w:numId w:val="1"/>
        </w:numPr>
        <w:spacing w:before="100" w:beforeAutospacing="1" w:after="195" w:line="240" w:lineRule="auto"/>
        <w:ind w:right="1575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Микроскоп оптический, биологический.</w:t>
      </w:r>
    </w:p>
    <w:p w:rsidR="002D0F33" w:rsidRPr="002D0F33" w:rsidRDefault="002D0F33" w:rsidP="002D0F33">
      <w:pPr>
        <w:numPr>
          <w:ilvl w:val="0"/>
          <w:numId w:val="1"/>
        </w:numPr>
        <w:spacing w:before="100" w:beforeAutospacing="1" w:after="195" w:line="240" w:lineRule="auto"/>
        <w:ind w:right="525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Химия:</w:t>
      </w:r>
    </w:p>
    <w:p w:rsidR="002D0F33" w:rsidRPr="002D0F33" w:rsidRDefault="002D0F33" w:rsidP="002D0F33">
      <w:pPr>
        <w:numPr>
          <w:ilvl w:val="1"/>
          <w:numId w:val="1"/>
        </w:numPr>
        <w:spacing w:before="100" w:beforeAutospacing="1" w:after="195" w:line="240" w:lineRule="auto"/>
        <w:ind w:right="1575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Демонстрационное оборудование.</w:t>
      </w:r>
    </w:p>
    <w:p w:rsidR="002D0F33" w:rsidRPr="002D0F33" w:rsidRDefault="002D0F33" w:rsidP="002D0F33">
      <w:pPr>
        <w:numPr>
          <w:ilvl w:val="1"/>
          <w:numId w:val="1"/>
        </w:numPr>
        <w:spacing w:before="100" w:beforeAutospacing="1" w:after="195" w:line="240" w:lineRule="auto"/>
        <w:ind w:right="1575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Комплект химических реактивов.</w:t>
      </w:r>
    </w:p>
    <w:p w:rsidR="002D0F33" w:rsidRPr="002D0F33" w:rsidRDefault="002D0F33" w:rsidP="002D0F33">
      <w:pPr>
        <w:numPr>
          <w:ilvl w:val="1"/>
          <w:numId w:val="1"/>
        </w:numPr>
        <w:spacing w:before="100" w:beforeAutospacing="1" w:after="195" w:line="240" w:lineRule="auto"/>
        <w:ind w:right="1575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Комплект коллекций («Волокна», «Металлы и сплавы», «Пластмассы», наборы для моделирования строения органических веществ и др.)</w:t>
      </w:r>
    </w:p>
    <w:p w:rsidR="002D0F33" w:rsidRPr="002D0F33" w:rsidRDefault="002D0F33" w:rsidP="002D0F33">
      <w:pPr>
        <w:numPr>
          <w:ilvl w:val="0"/>
          <w:numId w:val="1"/>
        </w:numPr>
        <w:spacing w:before="100" w:beforeAutospacing="1" w:after="195" w:line="240" w:lineRule="auto"/>
        <w:ind w:right="525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Физика:</w:t>
      </w:r>
    </w:p>
    <w:p w:rsidR="002D0F33" w:rsidRPr="002D0F33" w:rsidRDefault="002D0F33" w:rsidP="002D0F33">
      <w:pPr>
        <w:numPr>
          <w:ilvl w:val="1"/>
          <w:numId w:val="1"/>
        </w:numPr>
        <w:spacing w:before="100" w:beforeAutospacing="1" w:after="195" w:line="240" w:lineRule="auto"/>
        <w:ind w:right="1575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Оборудование для демонстрационных опытов.</w:t>
      </w:r>
    </w:p>
    <w:p w:rsidR="002D0F33" w:rsidRPr="002D0F33" w:rsidRDefault="002D0F33" w:rsidP="002D0F33">
      <w:pPr>
        <w:numPr>
          <w:ilvl w:val="1"/>
          <w:numId w:val="1"/>
        </w:numPr>
        <w:spacing w:before="100" w:beforeAutospacing="1" w:after="195" w:line="240" w:lineRule="auto"/>
        <w:ind w:right="1575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Оборудование для лабораторных работ и ученических опытов (на базе комплектов для ОГЭ).</w:t>
      </w:r>
    </w:p>
    <w:p w:rsidR="002D0F33" w:rsidRPr="002D0F33" w:rsidRDefault="002D0F33" w:rsidP="002D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F33">
        <w:rPr>
          <w:rFonts w:ascii="Times New Roman" w:eastAsia="Times New Roman" w:hAnsi="Times New Roman" w:cs="Times New Roman"/>
          <w:b/>
          <w:bCs/>
          <w:color w:val="880000"/>
          <w:sz w:val="27"/>
          <w:szCs w:val="27"/>
          <w:shd w:val="clear" w:color="auto" w:fill="FFFFFF"/>
          <w:lang w:eastAsia="ru-RU"/>
        </w:rPr>
        <w:t>Технологическая направленность</w:t>
      </w:r>
    </w:p>
    <w:p w:rsidR="002D0F33" w:rsidRPr="002D0F33" w:rsidRDefault="002D0F33" w:rsidP="002D0F33">
      <w:pPr>
        <w:numPr>
          <w:ilvl w:val="0"/>
          <w:numId w:val="2"/>
        </w:numPr>
        <w:spacing w:before="100" w:beforeAutospacing="1" w:after="195" w:line="240" w:lineRule="auto"/>
        <w:ind w:right="525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Образовательный конструктор для практики блочного программирования с комплектом датчиков.</w:t>
      </w:r>
    </w:p>
    <w:p w:rsidR="002D0F33" w:rsidRPr="002D0F33" w:rsidRDefault="002D0F33" w:rsidP="002D0F33">
      <w:pPr>
        <w:numPr>
          <w:ilvl w:val="0"/>
          <w:numId w:val="2"/>
        </w:numPr>
        <w:spacing w:before="100" w:beforeAutospacing="1" w:after="195" w:line="240" w:lineRule="auto"/>
        <w:ind w:right="525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Образовательный набор по механике, </w:t>
      </w:r>
      <w:proofErr w:type="spellStart"/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мехатронике</w:t>
      </w:r>
      <w:proofErr w:type="spellEnd"/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робототехнике.</w:t>
      </w:r>
    </w:p>
    <w:p w:rsidR="002D0F33" w:rsidRPr="002D0F33" w:rsidRDefault="002D0F33" w:rsidP="002D0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0F33">
        <w:rPr>
          <w:rFonts w:ascii="Times New Roman" w:eastAsia="Times New Roman" w:hAnsi="Times New Roman" w:cs="Times New Roman"/>
          <w:b/>
          <w:bCs/>
          <w:color w:val="880000"/>
          <w:sz w:val="27"/>
          <w:szCs w:val="27"/>
          <w:shd w:val="clear" w:color="auto" w:fill="FFFFFF"/>
          <w:lang w:eastAsia="ru-RU"/>
        </w:rPr>
        <w:t>Компьютерное оборудование</w:t>
      </w:r>
    </w:p>
    <w:p w:rsidR="002D0F33" w:rsidRPr="002D0F33" w:rsidRDefault="002D0F33" w:rsidP="002D0F33">
      <w:pPr>
        <w:numPr>
          <w:ilvl w:val="0"/>
          <w:numId w:val="3"/>
        </w:numPr>
        <w:spacing w:before="100" w:beforeAutospacing="1" w:after="195" w:line="240" w:lineRule="auto"/>
        <w:ind w:right="525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Ноутбуки (2 шт.).</w:t>
      </w:r>
    </w:p>
    <w:p w:rsidR="002D0F33" w:rsidRPr="002D0F33" w:rsidRDefault="002D0F33" w:rsidP="002D0F33">
      <w:pPr>
        <w:numPr>
          <w:ilvl w:val="0"/>
          <w:numId w:val="3"/>
        </w:numPr>
        <w:spacing w:before="100" w:beforeAutospacing="1" w:after="195" w:line="240" w:lineRule="auto"/>
        <w:ind w:right="525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МФУ (принтер, сканер, копир) (1 шт.)</w:t>
      </w:r>
    </w:p>
    <w:p w:rsidR="002D0F33" w:rsidRDefault="002D0F33" w:rsidP="002D0F33">
      <w:pPr>
        <w:spacing w:before="100" w:beforeAutospacing="1" w:after="195" w:line="240" w:lineRule="auto"/>
        <w:ind w:right="52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</w:p>
    <w:p w:rsidR="002D0F33" w:rsidRPr="002D0F33" w:rsidRDefault="002D0F33" w:rsidP="002D0F33">
      <w:pPr>
        <w:spacing w:before="100" w:beforeAutospacing="1" w:after="195" w:line="240" w:lineRule="auto"/>
        <w:ind w:right="525"/>
        <w:jc w:val="both"/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</w:pPr>
    </w:p>
    <w:p w:rsidR="00160808" w:rsidRDefault="002D0F33" w:rsidP="002D0F33"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Образовательная деятельность на базе центров «Точка роста» осуществляется по образовательным программам общего и дополнительного образования.</w:t>
      </w:r>
      <w:r w:rsidRPr="002D0F33">
        <w:rPr>
          <w:rFonts w:ascii="Times New Roman" w:eastAsia="Times New Roman" w:hAnsi="Times New Roman" w:cs="Times New Roman"/>
          <w:color w:val="01324E"/>
          <w:sz w:val="27"/>
          <w:szCs w:val="27"/>
          <w:lang w:eastAsia="ru-RU"/>
        </w:rPr>
        <w:br/>
      </w: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Направления реализуемых с использованием ресурсов Центров «Точка роста» программ определяются в соответствии с методическими материалами и рекомендациями, устанавливаемыми и актуализируемыми Федеральным оператором.</w:t>
      </w:r>
      <w:r w:rsidRPr="002D0F33">
        <w:rPr>
          <w:rFonts w:ascii="Times New Roman" w:eastAsia="Times New Roman" w:hAnsi="Times New Roman" w:cs="Times New Roman"/>
          <w:color w:val="01324E"/>
          <w:sz w:val="27"/>
          <w:szCs w:val="27"/>
          <w:lang w:eastAsia="ru-RU"/>
        </w:rPr>
        <w:br/>
      </w: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На базе центров «Точка роста» обеспечивается реализация образовательных программ </w:t>
      </w:r>
      <w:proofErr w:type="gramStart"/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естественно-научной</w:t>
      </w:r>
      <w:proofErr w:type="gramEnd"/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 технологической направленностей, разработанных в соответствии с требованиями законодательства в сфере образования и с учетом рекомендаций Федерального оператора. В обязательном порядке на базе центров «Точка роста» обеспечивается освоение обучающимися учебных предметов «Физика», «Химия», «Биология» с использованием приобретаемого оборудования, расходных материалов, средств обучения и воспитания.</w:t>
      </w:r>
      <w:r w:rsidRPr="002D0F33">
        <w:rPr>
          <w:rFonts w:ascii="Times New Roman" w:eastAsia="Times New Roman" w:hAnsi="Times New Roman" w:cs="Times New Roman"/>
          <w:color w:val="01324E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Обучающиеся и педагоги школы </w:t>
      </w: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получат дополнительные возможности для внедрения на уровнях начального общего, ос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новного общего </w:t>
      </w: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образования новых методов обучения и воспитания, образовательных технологий, обеспечивающих освоение </w:t>
      </w:r>
      <w:proofErr w:type="gramStart"/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обучающимися</w:t>
      </w:r>
      <w:proofErr w:type="gramEnd"/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основных и дополнительных общеобразовательных программ естественно-научного и технического профилей.</w:t>
      </w:r>
      <w:r w:rsidRPr="002D0F33">
        <w:rPr>
          <w:rFonts w:ascii="Times New Roman" w:eastAsia="Times New Roman" w:hAnsi="Times New Roman" w:cs="Times New Roman"/>
          <w:color w:val="01324E"/>
          <w:sz w:val="27"/>
          <w:szCs w:val="27"/>
          <w:lang w:eastAsia="ru-RU"/>
        </w:rPr>
        <w:br/>
      </w: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2021-2022 учебном году планируется реализация курсов внеурочной деятельности и программ дополнительного образования естественнонаучной и технологической направленностей.</w:t>
      </w:r>
      <w:r w:rsidRPr="002D0F33">
        <w:rPr>
          <w:rFonts w:ascii="Times New Roman" w:eastAsia="Times New Roman" w:hAnsi="Times New Roman" w:cs="Times New Roman"/>
          <w:color w:val="01324E"/>
          <w:sz w:val="27"/>
          <w:szCs w:val="27"/>
          <w:lang w:eastAsia="ru-RU"/>
        </w:rPr>
        <w:br/>
      </w:r>
      <w:r w:rsidRPr="002D0F33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Инфраструктура Центра будет использоваться как общественное пространство для развития цифровой грамотности населения, проектной деятельности, творческой, социальной самореализации детей, педагогов, родительской общественности.</w:t>
      </w:r>
      <w:r w:rsidRPr="002D0F33">
        <w:rPr>
          <w:rFonts w:ascii="Times New Roman" w:eastAsia="Times New Roman" w:hAnsi="Times New Roman" w:cs="Times New Roman"/>
          <w:color w:val="01324E"/>
          <w:sz w:val="27"/>
          <w:szCs w:val="27"/>
          <w:lang w:eastAsia="ru-RU"/>
        </w:rPr>
        <w:br/>
      </w:r>
      <w:r w:rsidRPr="002D0F33">
        <w:rPr>
          <w:rFonts w:ascii="Verdana" w:eastAsia="Times New Roman" w:hAnsi="Verdana" w:cs="Times New Roman"/>
          <w:color w:val="01324E"/>
          <w:sz w:val="16"/>
          <w:szCs w:val="16"/>
          <w:lang w:eastAsia="ru-RU"/>
        </w:rPr>
        <w:br/>
      </w:r>
      <w:r w:rsidRPr="002D0F33">
        <w:rPr>
          <w:rFonts w:ascii="Verdana" w:eastAsia="Times New Roman" w:hAnsi="Verdana" w:cs="Times New Roman"/>
          <w:color w:val="01324E"/>
          <w:sz w:val="16"/>
          <w:szCs w:val="16"/>
          <w:shd w:val="clear" w:color="auto" w:fill="FFFFFF"/>
          <w:lang w:eastAsia="ru-RU"/>
        </w:rPr>
        <w:t> </w:t>
      </w:r>
    </w:p>
    <w:sectPr w:rsidR="00160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36294"/>
    <w:multiLevelType w:val="multilevel"/>
    <w:tmpl w:val="1AD4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D07AF8"/>
    <w:multiLevelType w:val="multilevel"/>
    <w:tmpl w:val="ADFAD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4B5EB0"/>
    <w:multiLevelType w:val="multilevel"/>
    <w:tmpl w:val="9A6CC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33"/>
    <w:rsid w:val="00160808"/>
    <w:rsid w:val="002D0F33"/>
    <w:rsid w:val="0092744A"/>
    <w:rsid w:val="00A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9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399</Words>
  <Characters>2278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2022-06-22T12:46:00Z</dcterms:created>
  <dcterms:modified xsi:type="dcterms:W3CDTF">2022-06-28T09:16:00Z</dcterms:modified>
</cp:coreProperties>
</file>